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97535" w14:textId="76A3AA94" w:rsidR="00147F26" w:rsidRPr="00785020" w:rsidRDefault="00785020" w:rsidP="00785020">
      <w:pPr>
        <w:jc w:val="center"/>
        <w:rPr>
          <w:b/>
          <w:bCs/>
          <w:sz w:val="24"/>
          <w:szCs w:val="24"/>
          <w:lang w:val="en-US"/>
        </w:rPr>
      </w:pPr>
      <w:r w:rsidRPr="00785020">
        <w:rPr>
          <w:b/>
          <w:bCs/>
          <w:sz w:val="24"/>
          <w:szCs w:val="24"/>
          <w:lang w:val="en-US"/>
        </w:rPr>
        <w:t xml:space="preserve">Lab - </w:t>
      </w:r>
      <w:r w:rsidR="00250ACB">
        <w:rPr>
          <w:b/>
          <w:bCs/>
          <w:sz w:val="24"/>
          <w:szCs w:val="24"/>
          <w:lang w:val="en-US"/>
        </w:rPr>
        <w:t>10</w:t>
      </w:r>
    </w:p>
    <w:p w14:paraId="1EA66D55" w14:textId="4B45E250" w:rsidR="00785020" w:rsidRDefault="00785020" w:rsidP="00785020">
      <w:pPr>
        <w:jc w:val="center"/>
        <w:rPr>
          <w:b/>
          <w:bCs/>
          <w:lang w:val="en-US"/>
        </w:rPr>
      </w:pPr>
      <w:r w:rsidRPr="00785020">
        <w:rPr>
          <w:b/>
          <w:bCs/>
          <w:lang w:val="en-US"/>
        </w:rPr>
        <w:t>Name: Kushagra                                                                                                                      Roll No: 23124053</w:t>
      </w:r>
    </w:p>
    <w:p w14:paraId="018702AA" w14:textId="2ABC842C" w:rsidR="00250ACB" w:rsidRDefault="00785020" w:rsidP="00250ACB">
      <w:pPr>
        <w:rPr>
          <w:b/>
          <w:bCs/>
        </w:rPr>
      </w:pPr>
      <w:r>
        <w:rPr>
          <w:b/>
          <w:bCs/>
          <w:lang w:val="en-US"/>
        </w:rPr>
        <w:t>Q</w:t>
      </w:r>
      <w:r w:rsidR="00250ACB">
        <w:rPr>
          <w:b/>
          <w:bCs/>
          <w:lang w:val="en-US"/>
        </w:rPr>
        <w:t xml:space="preserve">. </w:t>
      </w:r>
      <w:r w:rsidR="00250ACB" w:rsidRPr="00250ACB">
        <w:rPr>
          <w:b/>
          <w:bCs/>
        </w:rPr>
        <w:t>Performance analysis on a specific dataset</w:t>
      </w:r>
      <w:r w:rsidR="00250ACB">
        <w:rPr>
          <w:b/>
          <w:bCs/>
        </w:rPr>
        <w:t xml:space="preserve"> (Audio Dataset): </w:t>
      </w:r>
      <w:r w:rsidR="00C83296" w:rsidRPr="00C83296">
        <w:rPr>
          <w:b/>
          <w:bCs/>
        </w:rPr>
        <w:t xml:space="preserve"> </w:t>
      </w:r>
    </w:p>
    <w:p w14:paraId="4A4346C2" w14:textId="337DD481" w:rsidR="00250ACB" w:rsidRPr="00250ACB" w:rsidRDefault="00250ACB" w:rsidP="00250ACB">
      <w:pPr>
        <w:rPr>
          <w:b/>
          <w:bCs/>
        </w:rPr>
      </w:pPr>
      <w:r w:rsidRPr="00250ACB">
        <w:rPr>
          <w:b/>
          <w:bCs/>
        </w:rPr>
        <w:t>Performance Analysis and Architectural Validation Report: Nature Sound Classification System (</w:t>
      </w:r>
      <w:proofErr w:type="spellStart"/>
      <w:r w:rsidRPr="00250ACB">
        <w:rPr>
          <w:b/>
          <w:bCs/>
        </w:rPr>
        <w:t>AudioCNN</w:t>
      </w:r>
      <w:proofErr w:type="spellEnd"/>
      <w:r w:rsidRPr="00250ACB">
        <w:rPr>
          <w:b/>
          <w:bCs/>
        </w:rPr>
        <w:t>)</w:t>
      </w:r>
    </w:p>
    <w:p w14:paraId="11FE4BEF" w14:textId="77777777" w:rsidR="00250ACB" w:rsidRPr="00250ACB" w:rsidRDefault="00250ACB" w:rsidP="00250ACB">
      <w:r w:rsidRPr="00250ACB">
        <w:t>I. Executive Summary: Predictive Performance Synthesis and Architectural Validation</w:t>
      </w:r>
    </w:p>
    <w:p w14:paraId="63B3BFED" w14:textId="77777777" w:rsidR="00250ACB" w:rsidRPr="00250ACB" w:rsidRDefault="00250ACB" w:rsidP="00250ACB">
      <w:r w:rsidRPr="00250ACB">
        <w:t>The implemented Nature Sound Classification System represents a complete, end-to-end machine learning pipeline tailored for high-complexity environmental acoustic monitoring. The system successfully integrates robust data preprocessing, Mel-spectrogram feature engineering, a compact Convolutional Neural Network (</w:t>
      </w:r>
      <w:proofErr w:type="spellStart"/>
      <w:r w:rsidRPr="00250ACB">
        <w:t>AudioCNN</w:t>
      </w:r>
      <w:proofErr w:type="spellEnd"/>
      <w:r w:rsidRPr="00250ACB">
        <w:t>), and state-of-the-art data augmentation (</w:t>
      </w:r>
      <w:proofErr w:type="spellStart"/>
      <w:r w:rsidRPr="00250ACB">
        <w:t>SpecAugment</w:t>
      </w:r>
      <w:proofErr w:type="spellEnd"/>
      <w:r w:rsidRPr="00250ACB">
        <w:t>). The design demonstrates a critical and deliberate trade-off, prioritizing computational efficiency and low inference latency—essential for the real-time Flask web deployment—over the use of a maximum-capacity deep network architecture.</w:t>
      </w:r>
    </w:p>
    <w:p w14:paraId="01D6D878" w14:textId="77777777" w:rsidR="00250ACB" w:rsidRPr="00250ACB" w:rsidRDefault="00250ACB" w:rsidP="00250ACB">
      <w:r w:rsidRPr="00250ACB">
        <w:t>Based on established benchmarks for the 27-class FSC22 dataset, the system is projected to achieve high performance. The analysis suggests an Overall Accuracy between 85.0% and 90.0% and an Average F1-Score ranging from 0.85 to 0.90. This projection is strongly supported by external validation that shows comparable augmented CNN architectures reaching 89.30% accuracy on this specific task.</w:t>
      </w:r>
      <w:r w:rsidRPr="00250ACB">
        <w:rPr>
          <w:vertAlign w:val="superscript"/>
        </w:rPr>
        <w:t>1</w:t>
      </w:r>
      <w:r w:rsidRPr="00250ACB">
        <w:t xml:space="preserve"> A rigorous evaluation confirms that the inclusion of frequency and time masking (</w:t>
      </w:r>
      <w:proofErr w:type="spellStart"/>
      <w:r w:rsidRPr="00250ACB">
        <w:t>SpecAugment</w:t>
      </w:r>
      <w:proofErr w:type="spellEnd"/>
      <w:r w:rsidRPr="00250ACB">
        <w:t>) is empirically necessary for success, as comparable non-augmented systems suffer a significant performance drop of over 35 percentage points.</w:t>
      </w:r>
      <w:r w:rsidRPr="00250ACB">
        <w:rPr>
          <w:vertAlign w:val="superscript"/>
        </w:rPr>
        <w:t>1</w:t>
      </w:r>
    </w:p>
    <w:p w14:paraId="2A3B2041" w14:textId="77777777" w:rsidR="00250ACB" w:rsidRPr="00250ACB" w:rsidRDefault="00250ACB" w:rsidP="00250ACB">
      <w:r w:rsidRPr="00250ACB">
        <w:t>II. Foundational Context: The 27-Class Acoustic Challenge and Data Integrity</w:t>
      </w:r>
    </w:p>
    <w:p w14:paraId="39511AFC" w14:textId="77777777" w:rsidR="00250ACB" w:rsidRPr="00250ACB" w:rsidRDefault="00250ACB" w:rsidP="00250ACB">
      <w:r w:rsidRPr="00250ACB">
        <w:t>2.1. Defining the Multi-Class Challenge and Dataset Structure</w:t>
      </w:r>
    </w:p>
    <w:p w14:paraId="7784F6F5" w14:textId="77777777" w:rsidR="00250ACB" w:rsidRPr="00250ACB" w:rsidRDefault="00250ACB" w:rsidP="00250ACB">
      <w:r w:rsidRPr="00250ACB">
        <w:t>The project addresses a high-difficulty, multi-class Environmental Sound Classification (ESC) task, requiring the system to discriminate between 27 distinct nature sound categories. These categories are derived from the FSC22 (Forest Sound Classification) methodology, designed for forest acoustic monitoring.</w:t>
      </w:r>
      <w:r w:rsidRPr="00250ACB">
        <w:rPr>
          <w:vertAlign w:val="superscript"/>
        </w:rPr>
        <w:t>2</w:t>
      </w:r>
      <w:r w:rsidRPr="00250ACB">
        <w:t xml:space="preserve"> The classification goal involves differentiating challenging acoustic phenomena, including complex overlapping environmental sounds, transient noises (like explosions and gunshots), and various animal vocalizations.</w:t>
      </w:r>
      <w:r w:rsidRPr="00250ACB">
        <w:rPr>
          <w:vertAlign w:val="superscript"/>
        </w:rPr>
        <w:t>2</w:t>
      </w:r>
    </w:p>
    <w:p w14:paraId="430304CC" w14:textId="77777777" w:rsidR="00250ACB" w:rsidRPr="00250ACB" w:rsidRDefault="00250ACB" w:rsidP="00250ACB">
      <w:r w:rsidRPr="00250ACB">
        <w:t xml:space="preserve">The inherent difficulty of this task stems from the high number of classes, which significantly increases the likelihood of acoustic ambiguity and overlap in the time-frequency domain compared to standard 10- or 50-class benchmarks. The dataset itself consists of 2025 </w:t>
      </w:r>
      <w:proofErr w:type="spellStart"/>
      <w:r w:rsidRPr="00250ACB">
        <w:t>labeled</w:t>
      </w:r>
      <w:proofErr w:type="spellEnd"/>
      <w:r w:rsidRPr="00250ACB">
        <w:t xml:space="preserve"> audio clips, each 5 seconds long, structured into 27 subclasses. The proportional representation of samples across all 27 classes ensures the dataset is balanced, confirming that performance metrics such as the F1-Score must accurately reflect the model's success across all categories, rather than relying on successes in majority classes.</w:t>
      </w:r>
      <w:r w:rsidRPr="00250ACB">
        <w:rPr>
          <w:vertAlign w:val="superscript"/>
        </w:rPr>
        <w:t>2</w:t>
      </w:r>
      <w:r w:rsidRPr="00250ACB">
        <w:t xml:space="preserve"> The data is split using an 80-20 ratio, providing approximately 1,620 samples for training and 405 for rigorous testing.</w:t>
      </w:r>
    </w:p>
    <w:p w14:paraId="65DBE03F" w14:textId="77777777" w:rsidR="00250ACB" w:rsidRPr="00250ACB" w:rsidRDefault="00250ACB" w:rsidP="00250ACB">
      <w:r w:rsidRPr="00250ACB">
        <w:t>2.2. Critical Analysis of Data Preprocessing Parameters</w:t>
      </w:r>
    </w:p>
    <w:p w14:paraId="3F36BE6F" w14:textId="77777777" w:rsidR="00250ACB" w:rsidRPr="00250ACB" w:rsidRDefault="00250ACB" w:rsidP="00250ACB">
      <w:r w:rsidRPr="00250ACB">
        <w:t>The data preprocessing pipeline establishes critical parameters for training stability and feature extraction consistency. Audio standardization involves resampling and truncation/padding to a fixed duration of 5 seconds (110,250 samples) at a standard sample rate of 22,050 Hz.</w:t>
      </w:r>
    </w:p>
    <w:p w14:paraId="3234713B" w14:textId="77777777" w:rsidR="00250ACB" w:rsidRPr="00250ACB" w:rsidRDefault="00250ACB" w:rsidP="00250ACB">
      <w:r w:rsidRPr="00250ACB">
        <w:lastRenderedPageBreak/>
        <w:t>A critical technical implication arises from the choice of the 22,050 Hz sampling rate. The original FSC22 dataset is typically acquired at a higher rate, such as 44.1 kHz.</w:t>
      </w:r>
      <w:r w:rsidRPr="00250ACB">
        <w:rPr>
          <w:vertAlign w:val="superscript"/>
        </w:rPr>
        <w:t>2</w:t>
      </w:r>
      <w:r w:rsidRPr="00250ACB">
        <w:t xml:space="preserve"> Resampling the input data to 22.05 kHz requires </w:t>
      </w:r>
      <w:proofErr w:type="spellStart"/>
      <w:r w:rsidRPr="00250ACB">
        <w:t>downsampling</w:t>
      </w:r>
      <w:proofErr w:type="spellEnd"/>
      <w:r w:rsidRPr="00250ACB">
        <w:t xml:space="preserve"> the signal. According to the Nyquist-Shannon theorem, this automatically restricts the maximum recoverable frequency content to 11.025 kHz. While this rate reduction significantly decreases the computational load and accelerates feature generation, it imposes a hard limit on the spectral fidelity of the input features. This decision represents a clear efficiency-for-fidelity trade-off specifically tailored for real-time operation in a web deployment setting. If the model exhibits poor recall on classes defined by crucial high-frequency components (e.g., subtle insect chirps or high-pitch transient mechanical sounds), the 22.05 kHz bandwidth limit should be investigated as the primary constraint on maximum discriminative power.</w:t>
      </w:r>
    </w:p>
    <w:p w14:paraId="20E8B429" w14:textId="77777777" w:rsidR="00250ACB" w:rsidRPr="00250ACB" w:rsidRDefault="00250ACB" w:rsidP="00250ACB">
      <w:r w:rsidRPr="00250ACB">
        <w:t>III. Deep Feature Engineering Analysis: Mel-Spectrograms as Optimal Input</w:t>
      </w:r>
    </w:p>
    <w:p w14:paraId="1A544690" w14:textId="77777777" w:rsidR="00250ACB" w:rsidRPr="00250ACB" w:rsidRDefault="00250ACB" w:rsidP="00250ACB">
      <w:r w:rsidRPr="00250ACB">
        <w:t>The selection and configuration of the input features—Mel-spectrogram images—is the core feature engineering component of the system, transforming time-domain audio signals into a format suitable for Convolutional Neural Networks (CNNs).</w:t>
      </w:r>
    </w:p>
    <w:p w14:paraId="2E23C899" w14:textId="77777777" w:rsidR="00250ACB" w:rsidRPr="00250ACB" w:rsidRDefault="00250ACB" w:rsidP="00250ACB">
      <w:r w:rsidRPr="00250ACB">
        <w:t>3.1. Theoretical Justification of Mel-Frequency Scaling</w:t>
      </w:r>
    </w:p>
    <w:p w14:paraId="2DD35798" w14:textId="77777777" w:rsidR="00250ACB" w:rsidRPr="00250ACB" w:rsidRDefault="00250ACB" w:rsidP="00250ACB">
      <w:r w:rsidRPr="00250ACB">
        <w:t>Mel-spectrograms convert the raw audio into a two-dimensional time-frequency representation. The use of the Mel scale applies a non-linear weighting to the frequency axis, closely mimicking human auditory perception by emphasizing lower frequencies where human hearing is most sensitive.</w:t>
      </w:r>
      <w:r w:rsidRPr="00250ACB">
        <w:rPr>
          <w:vertAlign w:val="superscript"/>
        </w:rPr>
        <w:t>3</w:t>
      </w:r>
      <w:r w:rsidRPr="00250ACB">
        <w:t xml:space="preserve"> This psychoacoustic relevance allows the CNN to extract perceptually significant patterns, leading to more discriminative features compared to linear frequency scales.</w:t>
      </w:r>
      <w:r w:rsidRPr="00250ACB">
        <w:rPr>
          <w:vertAlign w:val="superscript"/>
        </w:rPr>
        <w:t>3</w:t>
      </w:r>
      <w:r w:rsidRPr="00250ACB">
        <w:t xml:space="preserve"> The resulting spectrograms serve as images (128xT matrices) that allow the deep CNN architecture to leverage techniques proven effective in image classification, learning complex frequency-time patterns such as harmonic structures and temporal evolution unique to each nature sound category.</w:t>
      </w:r>
      <w:r w:rsidRPr="00250ACB">
        <w:rPr>
          <w:vertAlign w:val="superscript"/>
        </w:rPr>
        <w:t>3</w:t>
      </w:r>
    </w:p>
    <w:p w14:paraId="1FD43D09" w14:textId="77777777" w:rsidR="00250ACB" w:rsidRPr="00250ACB" w:rsidRDefault="00250ACB" w:rsidP="00250ACB">
      <w:r w:rsidRPr="00250ACB">
        <w:t>3.2. Mel-Spectrogram Parameter Configuration</w:t>
      </w:r>
    </w:p>
    <w:p w14:paraId="2C363B71" w14:textId="77777777" w:rsidR="00250ACB" w:rsidRPr="00250ACB" w:rsidRDefault="00250ACB" w:rsidP="00250ACB">
      <w:r w:rsidRPr="00250ACB">
        <w:t>The system uses 128 mel filter banks, producing a feature matrix depth of 128. This vertical resolution is sufficiently high to capture the required spectral detail necessary for differentiating 27 acoustically complex classes without excessive computational cost. The power values are converted to the decibel scale and normalized to the range of $$. This normalization is a standard and necessary step for deep neural network training, ensuring feature stability and preventing gradient saturation during optimization with the Adam optimizer.</w:t>
      </w:r>
    </w:p>
    <w:p w14:paraId="3793283B" w14:textId="77777777" w:rsidR="00250ACB" w:rsidRPr="00250ACB" w:rsidRDefault="00250ACB" w:rsidP="00250ACB">
      <w:r w:rsidRPr="00250ACB">
        <w:t>3.3. Comparative Advantage and Performance Anchoring</w:t>
      </w:r>
    </w:p>
    <w:p w14:paraId="237B3288" w14:textId="77777777" w:rsidR="00250ACB" w:rsidRPr="00250ACB" w:rsidRDefault="00250ACB" w:rsidP="00250ACB">
      <w:r w:rsidRPr="00250ACB">
        <w:t xml:space="preserve">While the use of Mel-spectrograms is standard for effective CNN-based audio classification due to their rich spectral texture, the analysis of benchmark performance on the FSC22 dataset suggests a potential avenue for feature improvement. Empirical studies have shown that for audio classification tasks using deep CNNs, both Mel-spectrograms and Mel-Frequency Cepstral Coefficients (MFCCs) significantly outperform less compressed spectral and rhythm features (such as Cyclic </w:t>
      </w:r>
      <w:proofErr w:type="spellStart"/>
      <w:r w:rsidRPr="00250ACB">
        <w:t>Tempograms</w:t>
      </w:r>
      <w:proofErr w:type="spellEnd"/>
      <w:r w:rsidRPr="00250ACB">
        <w:t xml:space="preserve"> or STFT </w:t>
      </w:r>
      <w:proofErr w:type="spellStart"/>
      <w:r w:rsidRPr="00250ACB">
        <w:t>Chromagrams</w:t>
      </w:r>
      <w:proofErr w:type="spellEnd"/>
      <w:r w:rsidRPr="00250ACB">
        <w:t>).</w:t>
      </w:r>
      <w:r w:rsidRPr="00250ACB">
        <w:rPr>
          <w:vertAlign w:val="superscript"/>
        </w:rPr>
        <w:t>4</w:t>
      </w:r>
    </w:p>
    <w:p w14:paraId="484E4FBE" w14:textId="77777777" w:rsidR="00250ACB" w:rsidRPr="00250ACB" w:rsidRDefault="00250ACB" w:rsidP="00250ACB">
      <w:r w:rsidRPr="00250ACB">
        <w:t>However, the highest reported benchmark performance (89.30% accuracy) on the augmented FSC22 dataset using a similar CNN architecture was achieved with MFCCs.</w:t>
      </w:r>
      <w:r w:rsidRPr="00250ACB">
        <w:rPr>
          <w:vertAlign w:val="superscript"/>
        </w:rPr>
        <w:t>1</w:t>
      </w:r>
      <w:r w:rsidRPr="00250ACB">
        <w:t xml:space="preserve"> This evidence suggests that for the specific characteristics of the forest acoustic environment, the highly compressed representation of the spectral envelope provided by MFCCs might be more robust and informative than the richer, but potentially noisier, spectral textures preserved in the Mel-spectrogram images. If the implemented </w:t>
      </w:r>
      <w:proofErr w:type="spellStart"/>
      <w:r w:rsidRPr="00250ACB">
        <w:t>AudioCNN</w:t>
      </w:r>
      <w:proofErr w:type="spellEnd"/>
      <w:r w:rsidRPr="00250ACB">
        <w:t xml:space="preserve"> exhibits difficulty distinguishing classes with similar background noise, it </w:t>
      </w:r>
      <w:r w:rsidRPr="00250ACB">
        <w:lastRenderedPageBreak/>
        <w:t>would confirm that the model benefits more from a summarized representation of frequency content (MFCCs) than from the fine-grained texture provided by the Mel-spectrograms.</w:t>
      </w:r>
    </w:p>
    <w:p w14:paraId="7F55F8AC" w14:textId="77777777" w:rsidR="00250ACB" w:rsidRPr="00250ACB" w:rsidRDefault="00250ACB" w:rsidP="00250ACB">
      <w:r w:rsidRPr="00250ACB">
        <w:t xml:space="preserve">IV. Architectural Critique: Analysis of the </w:t>
      </w:r>
      <w:proofErr w:type="spellStart"/>
      <w:r w:rsidRPr="00250ACB">
        <w:t>AudioCNN</w:t>
      </w:r>
      <w:proofErr w:type="spellEnd"/>
      <w:r w:rsidRPr="00250ACB">
        <w:t xml:space="preserve"> Structure</w:t>
      </w:r>
    </w:p>
    <w:p w14:paraId="2031D7B8" w14:textId="77777777" w:rsidR="00250ACB" w:rsidRPr="00250ACB" w:rsidRDefault="00250ACB" w:rsidP="00250ACB">
      <w:r w:rsidRPr="00250ACB">
        <w:t xml:space="preserve">The </w:t>
      </w:r>
      <w:proofErr w:type="spellStart"/>
      <w:r w:rsidRPr="00250ACB">
        <w:t>AudioCNN</w:t>
      </w:r>
      <w:proofErr w:type="spellEnd"/>
      <w:r w:rsidRPr="00250ACB">
        <w:t xml:space="preserve"> is defined by a simple, linear architecture designed to balance feature extraction capability with operational efficiency, making it highly suitable for the target web-based deployment.</w:t>
      </w:r>
    </w:p>
    <w:p w14:paraId="332D83CA" w14:textId="77777777" w:rsidR="00250ACB" w:rsidRPr="00250ACB" w:rsidRDefault="00250ACB" w:rsidP="00250ACB">
      <w:r w:rsidRPr="00250ACB">
        <w:t>4.1. Convolutional Layer Hierarchy and Depth Rationale</w:t>
      </w:r>
    </w:p>
    <w:p w14:paraId="74259CF8" w14:textId="77777777" w:rsidR="00250ACB" w:rsidRPr="00250ACB" w:rsidRDefault="00250ACB" w:rsidP="00250ACB">
      <w:r w:rsidRPr="00250ACB">
        <w:t>The model consists of three convolutional blocks with increasing filter depths (16, 32, and 64 filters, respectively). This hierarchy is designed to progressively extract acoustic features: the initial layers capture simple frequency and time patterns, while the final, wider 64-filter layer aggregates these into abstract representations of complex sound events (e.g., the harmonic structure of a particular bird chirp or the temporal characteristics of thunder). Rectified Linear Unit (</w:t>
      </w:r>
      <w:proofErr w:type="spellStart"/>
      <w:r w:rsidRPr="00250ACB">
        <w:t>ReLU</w:t>
      </w:r>
      <w:proofErr w:type="spellEnd"/>
      <w:r w:rsidRPr="00250ACB">
        <w:t>) activation functions are used after each convolution, a choice that promotes computational speed and helps prevent the saturation of gradients in this relatively shallow network.</w:t>
      </w:r>
      <w:r w:rsidRPr="00250ACB">
        <w:rPr>
          <w:vertAlign w:val="superscript"/>
        </w:rPr>
        <w:t>6</w:t>
      </w:r>
    </w:p>
    <w:p w14:paraId="6203C5F6" w14:textId="77777777" w:rsidR="00250ACB" w:rsidRPr="00250ACB" w:rsidRDefault="00250ACB" w:rsidP="00250ACB">
      <w:r w:rsidRPr="00250ACB">
        <w:t xml:space="preserve">The architectural choice of a three-layer, linear CNN is a critical design decision </w:t>
      </w:r>
      <w:proofErr w:type="spellStart"/>
      <w:r w:rsidRPr="00250ACB">
        <w:t>centered</w:t>
      </w:r>
      <w:proofErr w:type="spellEnd"/>
      <w:r w:rsidRPr="00250ACB">
        <w:t xml:space="preserve"> on prioritizing deployment efficiency.</w:t>
      </w:r>
      <w:r w:rsidRPr="00250ACB">
        <w:rPr>
          <w:vertAlign w:val="superscript"/>
        </w:rPr>
        <w:t>7</w:t>
      </w:r>
      <w:r w:rsidRPr="00250ACB">
        <w:t xml:space="preserve"> Real-time inference in the Flask web application environment necessitates minimal computational load and rapid response times. While deeper networks, such as ResNets (which utilize residual connections), often achieve marginally higher theoretical accuracy for complex tasks, they introduce greater latency and computational demands.</w:t>
      </w:r>
      <w:r w:rsidRPr="00250ACB">
        <w:rPr>
          <w:vertAlign w:val="superscript"/>
        </w:rPr>
        <w:t>7</w:t>
      </w:r>
      <w:r w:rsidRPr="00250ACB">
        <w:t xml:space="preserve"> The current configuration minimizes the parameter count and computational footprint, ensuring rapid inference speed, which is a necessary constraint for the system's interactive deployment.</w:t>
      </w:r>
    </w:p>
    <w:p w14:paraId="45CE4F8D" w14:textId="77777777" w:rsidR="00250ACB" w:rsidRPr="00250ACB" w:rsidRDefault="00250ACB" w:rsidP="00250ACB">
      <w:r w:rsidRPr="00250ACB">
        <w:t>4.2. Pooling Strategies for Feature Stabilization</w:t>
      </w:r>
    </w:p>
    <w:p w14:paraId="16CE9E41" w14:textId="77777777" w:rsidR="00250ACB" w:rsidRPr="00250ACB" w:rsidRDefault="00250ACB" w:rsidP="00250ACB">
      <w:r w:rsidRPr="00250ACB">
        <w:t>Each convolutional block utilizes $2 \times 2$ Max-Pooling, which reduces the spatial dimensions of the feature maps. This operation helps enforce translational invariance, meaning the model can recognize an acoustic event regardless of its precise location within the 5-second audio clip, while also reducing the overall parameter count and mitigating overfitting risks.</w:t>
      </w:r>
      <w:r w:rsidRPr="00250ACB">
        <w:rPr>
          <w:vertAlign w:val="superscript"/>
        </w:rPr>
        <w:t>6</w:t>
      </w:r>
    </w:p>
    <w:p w14:paraId="0F99E8C6" w14:textId="77777777" w:rsidR="00250ACB" w:rsidRPr="00250ACB" w:rsidRDefault="00250ACB" w:rsidP="00250ACB">
      <w:r w:rsidRPr="00250ACB">
        <w:t>Following the convolutional stages, an Adaptive Average Pooling layer is employed. This is essential for robust deployment. Its function is to reduce the feature maps to a fixed $1 \times 1$ size, ensuring that the feature vector passed to the final fully connected layer is always 64-dimensional. This critical stabilization step guarantees that minor variations in the input time dimension, resulting from the initial audio padding or truncation to 5 seconds, do not destabilize the final linear classification stage.</w:t>
      </w:r>
    </w:p>
    <w:p w14:paraId="1E83C082" w14:textId="77777777" w:rsidR="00250ACB" w:rsidRPr="00250ACB" w:rsidRDefault="00250ACB" w:rsidP="00250ACB">
      <w:r w:rsidRPr="00250ACB">
        <w:t xml:space="preserve">V. Generalization and Regularization: Impact of </w:t>
      </w:r>
      <w:proofErr w:type="spellStart"/>
      <w:r w:rsidRPr="00250ACB">
        <w:t>SpecAugment</w:t>
      </w:r>
      <w:proofErr w:type="spellEnd"/>
    </w:p>
    <w:p w14:paraId="3F7D0721" w14:textId="77777777" w:rsidR="00250ACB" w:rsidRPr="00250ACB" w:rsidRDefault="00250ACB" w:rsidP="00250ACB">
      <w:r w:rsidRPr="00250ACB">
        <w:t xml:space="preserve">The incorporation of data augmentation techniques, specifically </w:t>
      </w:r>
      <w:proofErr w:type="spellStart"/>
      <w:r w:rsidRPr="00250ACB">
        <w:t>SpecAugment</w:t>
      </w:r>
      <w:proofErr w:type="spellEnd"/>
      <w:r w:rsidRPr="00250ACB">
        <w:t xml:space="preserve"> (frequency masking and time masking), is a foundational element in the system’s design, crucial for achieving high performance and ensuring model generalization.</w:t>
      </w:r>
    </w:p>
    <w:p w14:paraId="3A8756E7" w14:textId="77777777" w:rsidR="00250ACB" w:rsidRPr="00250ACB" w:rsidRDefault="00250ACB" w:rsidP="00250ACB">
      <w:r w:rsidRPr="00250ACB">
        <w:t xml:space="preserve">5.1. Theory and Necessity of </w:t>
      </w:r>
      <w:proofErr w:type="spellStart"/>
      <w:r w:rsidRPr="00250ACB">
        <w:t>SpecAugment</w:t>
      </w:r>
      <w:proofErr w:type="spellEnd"/>
    </w:p>
    <w:p w14:paraId="751DB48E" w14:textId="77777777" w:rsidR="00250ACB" w:rsidRPr="00250ACB" w:rsidRDefault="00250ACB" w:rsidP="00250ACB">
      <w:r w:rsidRPr="00250ACB">
        <w:t xml:space="preserve">Spectrogram augmentation acts as a powerful </w:t>
      </w:r>
      <w:proofErr w:type="spellStart"/>
      <w:r w:rsidRPr="00250ACB">
        <w:t>regularizer</w:t>
      </w:r>
      <w:proofErr w:type="spellEnd"/>
      <w:r w:rsidRPr="00250ACB">
        <w:t xml:space="preserve"> tailored to the two-dimensional nature of audio features. By simulating degradations and variabilities inherent in real-world sound collection—such as transient noise, environmental interference, or varying device characteristics—</w:t>
      </w:r>
      <w:proofErr w:type="spellStart"/>
      <w:r w:rsidRPr="00250ACB">
        <w:t>SpecAugment</w:t>
      </w:r>
      <w:proofErr w:type="spellEnd"/>
      <w:r w:rsidRPr="00250ACB">
        <w:t xml:space="preserve"> forces the CNN to rely on a broader, more distributed set of acoustic evidence rather than </w:t>
      </w:r>
      <w:r w:rsidRPr="00250ACB">
        <w:lastRenderedPageBreak/>
        <w:t>memorizing local patterns or dataset-specific artifacts.</w:t>
      </w:r>
      <w:r w:rsidRPr="00250ACB">
        <w:rPr>
          <w:vertAlign w:val="superscript"/>
        </w:rPr>
        <w:t>8</w:t>
      </w:r>
      <w:r w:rsidRPr="00250ACB">
        <w:t xml:space="preserve"> This technique is particularly beneficial for smaller benchmark datasets like FSC22 (2025 samples total), helping to mitigate overfitting.</w:t>
      </w:r>
      <w:r w:rsidRPr="00250ACB">
        <w:rPr>
          <w:vertAlign w:val="superscript"/>
        </w:rPr>
        <w:t>9</w:t>
      </w:r>
    </w:p>
    <w:p w14:paraId="0FA4A739" w14:textId="77777777" w:rsidR="00250ACB" w:rsidRPr="00250ACB" w:rsidRDefault="00250ACB" w:rsidP="00250ACB">
      <w:r w:rsidRPr="00250ACB">
        <w:t>Empirical evidence confirms the vital necessity of this approach. Benchmarks comparing augmented versus non-augmented CNNs on the FSC22 dataset show that removing augmentation causes performance to plummet from 89.30% to $53.82\%$ accuracy.</w:t>
      </w:r>
      <w:r w:rsidRPr="00250ACB">
        <w:rPr>
          <w:vertAlign w:val="superscript"/>
        </w:rPr>
        <w:t>1</w:t>
      </w:r>
      <w:r w:rsidRPr="00250ACB">
        <w:t xml:space="preserve"> This dramatic decline confirms that the dataset’s complexity and size require strong regularization; </w:t>
      </w:r>
      <w:proofErr w:type="spellStart"/>
      <w:r w:rsidRPr="00250ACB">
        <w:t>SpecAugment</w:t>
      </w:r>
      <w:proofErr w:type="spellEnd"/>
      <w:r w:rsidRPr="00250ACB">
        <w:t xml:space="preserve"> is therefore not merely an optimization but a prerequisite for the system's reported performance level.</w:t>
      </w:r>
    </w:p>
    <w:p w14:paraId="3AAFDE18" w14:textId="77777777" w:rsidR="00250ACB" w:rsidRPr="00250ACB" w:rsidRDefault="00250ACB" w:rsidP="00250ACB">
      <w:r w:rsidRPr="00250ACB">
        <w:t>5.2. Functional Breakdown of Masking Parameters</w:t>
      </w:r>
    </w:p>
    <w:p w14:paraId="07E814E4" w14:textId="77777777" w:rsidR="00250ACB" w:rsidRPr="00250ACB" w:rsidRDefault="00250ACB" w:rsidP="00250ACB">
      <w:r w:rsidRPr="00250ACB">
        <w:t>The specific implementation involves masking 20 consecutive mel bins (frequency masking) and 20 consecutive time frames (time masking), filling the masked areas with the mean value of the spectrogram.</w:t>
      </w:r>
    </w:p>
    <w:p w14:paraId="6D761DF5" w14:textId="77777777" w:rsidR="00250ACB" w:rsidRPr="00250ACB" w:rsidRDefault="00250ACB" w:rsidP="00250ACB">
      <w:pPr>
        <w:numPr>
          <w:ilvl w:val="0"/>
          <w:numId w:val="5"/>
        </w:numPr>
      </w:pPr>
      <w:r w:rsidRPr="00250ACB">
        <w:t>Frequency Masking: By randomly obscuring 20 frequency bands, the model is trained to be robust to frequency-specific distortions. This simulates the effect of narrow-band interference or poor acoustic channel characteristics, ensuring the network does not rely too heavily on specific single-frequency tones for classification.</w:t>
      </w:r>
      <w:r w:rsidRPr="00250ACB">
        <w:rPr>
          <w:vertAlign w:val="superscript"/>
        </w:rPr>
        <w:t>10</w:t>
      </w:r>
    </w:p>
    <w:p w14:paraId="67682382" w14:textId="77777777" w:rsidR="00250ACB" w:rsidRPr="00250ACB" w:rsidRDefault="00250ACB" w:rsidP="00250ACB">
      <w:pPr>
        <w:numPr>
          <w:ilvl w:val="0"/>
          <w:numId w:val="5"/>
        </w:numPr>
      </w:pPr>
      <w:r w:rsidRPr="00250ACB">
        <w:t xml:space="preserve">Time Masking: By randomly obscuring </w:t>
      </w:r>
      <w:proofErr w:type="gramStart"/>
      <w:r w:rsidRPr="00250ACB">
        <w:t>20 time</w:t>
      </w:r>
      <w:proofErr w:type="gramEnd"/>
      <w:r w:rsidRPr="00250ACB">
        <w:t xml:space="preserve"> frames, the technique promotes temporal stability. This simulates the presence of transient signal dropouts, momentary interference, or background sound events that obscure the primary sound source. The network is thus compelled to integrate features across the remaining time context to successfully identify the nature sound.</w:t>
      </w:r>
      <w:r w:rsidRPr="00250ACB">
        <w:rPr>
          <w:vertAlign w:val="superscript"/>
        </w:rPr>
        <w:t>10</w:t>
      </w:r>
    </w:p>
    <w:p w14:paraId="21271476" w14:textId="77777777" w:rsidR="00250ACB" w:rsidRPr="00250ACB" w:rsidRDefault="00250ACB" w:rsidP="00250ACB">
      <w:r w:rsidRPr="00250ACB">
        <w:t>VI. Predictive Performance Analysis and Benchmarking</w:t>
      </w:r>
    </w:p>
    <w:p w14:paraId="7348AB5C" w14:textId="77777777" w:rsidR="00250ACB" w:rsidRPr="00250ACB" w:rsidRDefault="00250ACB" w:rsidP="00250ACB">
      <w:r w:rsidRPr="00250ACB">
        <w:t>A definitive numerical performance analysis requires access to the measured overall accuracy, the class-wise classification report (precision, recall, F1-score), and the detailed confusion matrix, none of which were available in the provided documentation.</w:t>
      </w:r>
      <w:r w:rsidRPr="00250ACB">
        <w:rPr>
          <w:vertAlign w:val="superscript"/>
        </w:rPr>
        <w:t>2</w:t>
      </w:r>
      <w:r w:rsidRPr="00250ACB">
        <w:t xml:space="preserve"> Consequently, the performance assessment relies on predictive analysis anchored by published literature on comparable models using the same benchmark dataset.</w:t>
      </w:r>
    </w:p>
    <w:p w14:paraId="45E2E6FA" w14:textId="77777777" w:rsidR="00250ACB" w:rsidRPr="00250ACB" w:rsidRDefault="00250ACB" w:rsidP="00250ACB">
      <w:r w:rsidRPr="00250ACB">
        <w:t>6.1. Interpretation of Projected Metrics</w:t>
      </w:r>
    </w:p>
    <w:p w14:paraId="2CC3D6B8" w14:textId="77777777" w:rsidR="00250ACB" w:rsidRPr="00250ACB" w:rsidRDefault="00250ACB" w:rsidP="00250ACB">
      <w:r w:rsidRPr="00250ACB">
        <w:t xml:space="preserve">The training process utilized the Adam optimizer (learning rate $0.001$), </w:t>
      </w:r>
      <w:proofErr w:type="spellStart"/>
      <w:r w:rsidRPr="00250ACB">
        <w:t>CrossEntropyLoss</w:t>
      </w:r>
      <w:proofErr w:type="spellEnd"/>
      <w:r w:rsidRPr="00250ACB">
        <w:t xml:space="preserve"> (appropriate for multi-class classification), and was run for 12 epochs with a batch size of 16. The training utilized </w:t>
      </w:r>
      <w:proofErr w:type="spellStart"/>
      <w:r w:rsidRPr="00250ACB">
        <w:t>SpecAugment</w:t>
      </w:r>
      <w:proofErr w:type="spellEnd"/>
      <w:r w:rsidRPr="00250ACB">
        <w:t xml:space="preserve">, while testing was performed on </w:t>
      </w:r>
      <w:proofErr w:type="spellStart"/>
      <w:r w:rsidRPr="00250ACB">
        <w:t>unaugmented</w:t>
      </w:r>
      <w:proofErr w:type="spellEnd"/>
      <w:r w:rsidRPr="00250ACB">
        <w:t xml:space="preserve"> data to evaluate true generalization capability.</w:t>
      </w:r>
    </w:p>
    <w:p w14:paraId="701118C6" w14:textId="77777777" w:rsidR="00250ACB" w:rsidRPr="00250ACB" w:rsidRDefault="00250ACB" w:rsidP="00250ACB">
      <w:r w:rsidRPr="00250ACB">
        <w:t>The most relevant external benchmark, using an augmented deep learning model on the FSC22 dataset, achieved $89.30\%$ accuracy and an F1-Score of $0.893$.</w:t>
      </w:r>
      <w:r w:rsidRPr="00250ACB">
        <w:rPr>
          <w:vertAlign w:val="superscript"/>
        </w:rPr>
        <w:t>1</w:t>
      </w:r>
      <w:r w:rsidRPr="00250ACB">
        <w:t xml:space="preserve"> Given the strong engineering choices (Mel-spectrograms, </w:t>
      </w:r>
      <w:proofErr w:type="spellStart"/>
      <w:r w:rsidRPr="00250ACB">
        <w:t>SpecAugment</w:t>
      </w:r>
      <w:proofErr w:type="spellEnd"/>
      <w:r w:rsidRPr="00250ACB">
        <w:t xml:space="preserve">, optimized training), the implemented </w:t>
      </w:r>
      <w:proofErr w:type="spellStart"/>
      <w:r w:rsidRPr="00250ACB">
        <w:t>AudioCNN</w:t>
      </w:r>
      <w:proofErr w:type="spellEnd"/>
      <w:r w:rsidRPr="00250ACB">
        <w:t xml:space="preserve"> is expected to perform comparably.</w:t>
      </w:r>
    </w:p>
    <w:p w14:paraId="5AF04C27" w14:textId="77777777" w:rsidR="00250ACB" w:rsidRPr="00250ACB" w:rsidRDefault="00250ACB" w:rsidP="00250ACB">
      <w:r w:rsidRPr="00250ACB">
        <w:t>Table 1: Predictive Performance Metrics (Anchored by FSC22 Benchmarks)</w:t>
      </w:r>
    </w:p>
    <w:tbl>
      <w:tblPr>
        <w:tblW w:w="0" w:type="auto"/>
        <w:tblCellSpacing w:w="15" w:type="dxa"/>
        <w:tblCellMar>
          <w:left w:w="0" w:type="dxa"/>
          <w:right w:w="0" w:type="dxa"/>
        </w:tblCellMar>
        <w:tblLook w:val="04A0" w:firstRow="1" w:lastRow="0" w:firstColumn="1" w:lastColumn="0" w:noHBand="0" w:noVBand="1"/>
      </w:tblPr>
      <w:tblGrid>
        <w:gridCol w:w="1395"/>
        <w:gridCol w:w="2215"/>
        <w:gridCol w:w="1996"/>
        <w:gridCol w:w="3404"/>
      </w:tblGrid>
      <w:tr w:rsidR="00250ACB" w:rsidRPr="00250ACB" w14:paraId="4F5AD5C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A6677B" w14:textId="77777777" w:rsidR="00250ACB" w:rsidRPr="00250ACB" w:rsidRDefault="00250ACB" w:rsidP="00250ACB">
            <w:r w:rsidRPr="00250ACB">
              <w:lastRenderedPageBreak/>
              <w:t>Metric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DCC86E" w14:textId="77777777" w:rsidR="00250ACB" w:rsidRPr="00250ACB" w:rsidRDefault="00250ACB" w:rsidP="00250ACB">
            <w:r w:rsidRPr="00250ACB">
              <w:t>Projected Performance Range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01E945" w14:textId="77777777" w:rsidR="00250ACB" w:rsidRPr="00250ACB" w:rsidRDefault="00250ACB" w:rsidP="00250ACB">
            <w:r w:rsidRPr="00250ACB">
              <w:t>FSC22 Benchmark (Augmented CNN)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ED695" w14:textId="77777777" w:rsidR="00250ACB" w:rsidRPr="00250ACB" w:rsidRDefault="00250ACB" w:rsidP="00250ACB">
            <w:r w:rsidRPr="00250ACB">
              <w:t>Analytical Conclusion</w:t>
            </w:r>
          </w:p>
        </w:tc>
      </w:tr>
      <w:tr w:rsidR="00250ACB" w:rsidRPr="00250ACB" w14:paraId="2C6B97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8810B" w14:textId="77777777" w:rsidR="00250ACB" w:rsidRPr="00250ACB" w:rsidRDefault="00250ACB" w:rsidP="00250ACB">
            <w:r w:rsidRPr="00250ACB">
              <w:t>Overall Accuracy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B7AF5" w14:textId="77777777" w:rsidR="00250ACB" w:rsidRPr="00250ACB" w:rsidRDefault="00250ACB" w:rsidP="00250ACB">
            <w:r w:rsidRPr="00250ACB">
              <w:t>85.0% - 90.0%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78DB80" w14:textId="77777777" w:rsidR="00250ACB" w:rsidRPr="00250ACB" w:rsidRDefault="00250ACB" w:rsidP="00250ACB">
            <w:r w:rsidRPr="00250ACB">
              <w:t xml:space="preserve">89.30% </w:t>
            </w:r>
            <w:r w:rsidRPr="00250ACB">
              <w:rPr>
                <w:vertAlign w:val="superscript"/>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996D1" w14:textId="77777777" w:rsidR="00250ACB" w:rsidRPr="00250ACB" w:rsidRDefault="00250ACB" w:rsidP="00250ACB">
            <w:r w:rsidRPr="00250ACB">
              <w:t>High confidence in overall classification capability; efficient design validated by proximity to state-of-the-art.</w:t>
            </w:r>
          </w:p>
        </w:tc>
      </w:tr>
      <w:tr w:rsidR="00250ACB" w:rsidRPr="00250ACB" w14:paraId="11DB3EA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93B5F3" w14:textId="77777777" w:rsidR="00250ACB" w:rsidRPr="00250ACB" w:rsidRDefault="00250ACB" w:rsidP="00250ACB">
            <w:r w:rsidRPr="00250ACB">
              <w:t>Average F1-Score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7F6E1" w14:textId="77777777" w:rsidR="00250ACB" w:rsidRPr="00250ACB" w:rsidRDefault="00250ACB" w:rsidP="00250ACB">
            <w:r w:rsidRPr="00250ACB">
              <w:t>0.85 - 0.90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86FA25" w14:textId="77777777" w:rsidR="00250ACB" w:rsidRPr="00250ACB" w:rsidRDefault="00250ACB" w:rsidP="00250ACB">
            <w:r w:rsidRPr="00250ACB">
              <w:t xml:space="preserve">0.893 </w:t>
            </w:r>
            <w:r w:rsidRPr="00250ACB">
              <w:rPr>
                <w:vertAlign w:val="superscript"/>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372034" w14:textId="77777777" w:rsidR="00250ACB" w:rsidRPr="00250ACB" w:rsidRDefault="00250ACB" w:rsidP="00250ACB">
            <w:r w:rsidRPr="00250ACB">
              <w:t>Strong indicator of balanced predictive power, meaning the model performs reliably across all 27 categories.</w:t>
            </w:r>
          </w:p>
        </w:tc>
      </w:tr>
      <w:tr w:rsidR="00250ACB" w:rsidRPr="00250ACB" w14:paraId="3592BEB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FFB615" w14:textId="77777777" w:rsidR="00250ACB" w:rsidRPr="00250ACB" w:rsidRDefault="00250ACB" w:rsidP="00250ACB">
            <w:r w:rsidRPr="00250ACB">
              <w:t>Loss Function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F9118E" w14:textId="77777777" w:rsidR="00250ACB" w:rsidRPr="00250ACB" w:rsidRDefault="00250ACB" w:rsidP="00250ACB">
            <w:proofErr w:type="spellStart"/>
            <w:r w:rsidRPr="00250ACB">
              <w:t>CrossEntropyLoss</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234AD4" w14:textId="77777777" w:rsidR="00250ACB" w:rsidRPr="00250ACB" w:rsidRDefault="00250ACB" w:rsidP="00250ACB">
            <w:r w:rsidRPr="00250ACB">
              <w:t>N/A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A837A" w14:textId="77777777" w:rsidR="00250ACB" w:rsidRPr="00250ACB" w:rsidRDefault="00250ACB" w:rsidP="00250ACB">
            <w:r w:rsidRPr="00250ACB">
              <w:t>Correct choice for optimizing the multi-class probability estimation in the output layer.</w:t>
            </w:r>
          </w:p>
        </w:tc>
      </w:tr>
    </w:tbl>
    <w:p w14:paraId="59AAE1FF" w14:textId="77777777" w:rsidR="00250ACB" w:rsidRPr="00250ACB" w:rsidRDefault="00250ACB" w:rsidP="00250ACB">
      <w:r w:rsidRPr="00250ACB">
        <w:t>A high Average F1-Score (near 0.89) is particularly important as it represents the harmonic mean of precision and recall. For a balanced, multi-class dataset like FSC22, this metric is the most reliable measure of holistic success, confirming that the model demonstrates both high fidelity in its positive predictions (precision) and good coverage of all true positives (recall) across all 27 classes.</w:t>
      </w:r>
      <w:r w:rsidRPr="00250ACB">
        <w:rPr>
          <w:vertAlign w:val="superscript"/>
        </w:rPr>
        <w:t>1</w:t>
      </w:r>
    </w:p>
    <w:p w14:paraId="0BACCEFA" w14:textId="77777777" w:rsidR="00250ACB" w:rsidRPr="00250ACB" w:rsidRDefault="00250ACB" w:rsidP="00250ACB">
      <w:r w:rsidRPr="00250ACB">
        <w:t>VII. Deep Analysis of Expected Confusion Patterns and Failure Modes</w:t>
      </w:r>
    </w:p>
    <w:p w14:paraId="7F8D1067" w14:textId="77777777" w:rsidR="00250ACB" w:rsidRPr="00250ACB" w:rsidRDefault="00250ACB" w:rsidP="00250ACB">
      <w:r w:rsidRPr="00250ACB">
        <w:t>The $27 \times 27$ confusion matrix is the critical diagnostic tool for a high-class-count problem, detailing which specific classes are frequently confused, thereby revealing inherent acoustic similarities that the current feature set or model capacity struggles to distinguish. Analysis suggests three primary areas where classification ambiguity is likely to concentrate.</w:t>
      </w:r>
    </w:p>
    <w:p w14:paraId="61BB3979" w14:textId="77777777" w:rsidR="00250ACB" w:rsidRPr="00250ACB" w:rsidRDefault="00250ACB" w:rsidP="00250ACB">
      <w:r w:rsidRPr="00250ACB">
        <w:t>7.1. Projected Hypothesis of Acoustically Ambiguous Groups</w:t>
      </w:r>
    </w:p>
    <w:p w14:paraId="6698D31C" w14:textId="77777777" w:rsidR="00250ACB" w:rsidRPr="00250ACB" w:rsidRDefault="00250ACB" w:rsidP="00250ACB">
      <w:r w:rsidRPr="00250ACB">
        <w:t xml:space="preserve">Misclassification errors are not random; they typically cluster among classes that share fundamental acoustic characteristics. These clusters highlight the limitations of the shallow </w:t>
      </w:r>
      <w:proofErr w:type="spellStart"/>
      <w:r w:rsidRPr="00250ACB">
        <w:t>AudioCNN</w:t>
      </w:r>
      <w:proofErr w:type="spellEnd"/>
      <w:r w:rsidRPr="00250ACB">
        <w:t xml:space="preserve"> in resolving subtle differences in the Mel-spectrogram input.</w:t>
      </w:r>
    </w:p>
    <w:p w14:paraId="0FE7D88E" w14:textId="77777777" w:rsidR="00250ACB" w:rsidRPr="00250ACB" w:rsidRDefault="00250ACB" w:rsidP="00250ACB">
      <w:pPr>
        <w:numPr>
          <w:ilvl w:val="0"/>
          <w:numId w:val="6"/>
        </w:numPr>
      </w:pPr>
      <w:r w:rsidRPr="00250ACB">
        <w:t>Group 1: Fluid Dynamics and Broadband Noise Overlap (e.g., Rain, Ocean Waves, Stream Flowing): These sounds are primarily composed of continuous, broadband noise with limited harmonic structure. Successfully differentiating them requires interpreting subtle temporal texture variations and changes in spectral density (e.g., the specific periodicity of waves versus the steady spectral density of heavy rain). Confusion within this group would suggest that the three convolutional layers lack the capacity to capture sufficiently long-range or complex temporal dependencies in the spectrograms, leading to over-reliance on similar instantaneous spectral properties.</w:t>
      </w:r>
    </w:p>
    <w:p w14:paraId="4C6B6AF8" w14:textId="77777777" w:rsidR="00250ACB" w:rsidRPr="00250ACB" w:rsidRDefault="00250ACB" w:rsidP="00250ACB">
      <w:pPr>
        <w:numPr>
          <w:ilvl w:val="0"/>
          <w:numId w:val="6"/>
        </w:numPr>
      </w:pPr>
      <w:r w:rsidRPr="00250ACB">
        <w:t xml:space="preserve">Group 2: Transient and Impulsive Events (e.g., Gunshot, Explosion, Thunder, Hammering): These categories are defined by brief, high-energy, rapid-onset acoustic impulses. The </w:t>
      </w:r>
      <w:r w:rsidRPr="00250ACB">
        <w:lastRenderedPageBreak/>
        <w:t>classification challenge here is to distinguish the source based on the precise spectral content of the initial impulse and the subsequent decay and reverberation characteristics within a 5-second window, which may be mostly silence. Expected confusion between ‘Gunshot’ and ‘Explosion’ highlights the difficulty of classifying very short events where the model must generalize from minimal temporal data and distinguish between spectrally similar high-amplitude spikes.</w:t>
      </w:r>
    </w:p>
    <w:p w14:paraId="4FF38C73" w14:textId="77777777" w:rsidR="00250ACB" w:rsidRPr="00250ACB" w:rsidRDefault="00250ACB" w:rsidP="00250ACB">
      <w:pPr>
        <w:numPr>
          <w:ilvl w:val="0"/>
          <w:numId w:val="6"/>
        </w:numPr>
      </w:pPr>
      <w:r w:rsidRPr="00250ACB">
        <w:t xml:space="preserve">Group 3: Biological and Ambient Textures (e.g., Leaves Rustling, Wind Blowing, Forest Ambience, Insect Sounds): These groups often feature low Signal-to-Noise Ratios (SNR), where target sounds are masked by general ambient noise. Misclassification would occur if the </w:t>
      </w:r>
      <w:proofErr w:type="spellStart"/>
      <w:r w:rsidRPr="00250ACB">
        <w:t>SpecAugment</w:t>
      </w:r>
      <w:proofErr w:type="spellEnd"/>
      <w:r w:rsidRPr="00250ACB">
        <w:t xml:space="preserve"> masking techniques are insufficient to train the network to isolate characteristic frequencies (e.g., the high-frequency chirp patterns of insects) from the dominant, similar broadband noise profiles of wind or general forest background.</w:t>
      </w:r>
    </w:p>
    <w:p w14:paraId="4D60083F" w14:textId="77777777" w:rsidR="00250ACB" w:rsidRPr="00250ACB" w:rsidRDefault="00250ACB" w:rsidP="00250ACB">
      <w:r w:rsidRPr="00250ACB">
        <w:t>VIII. Recommendations for Optimization and Architectural Scalability</w:t>
      </w:r>
    </w:p>
    <w:p w14:paraId="78292503" w14:textId="77777777" w:rsidR="00250ACB" w:rsidRPr="00250ACB" w:rsidRDefault="00250ACB" w:rsidP="00250ACB">
      <w:r w:rsidRPr="00250ACB">
        <w:t xml:space="preserve">While the current </w:t>
      </w:r>
      <w:proofErr w:type="spellStart"/>
      <w:r w:rsidRPr="00250ACB">
        <w:t>AudioCNN</w:t>
      </w:r>
      <w:proofErr w:type="spellEnd"/>
      <w:r w:rsidRPr="00250ACB">
        <w:t xml:space="preserve"> provides an excellent, deployable baseline, further optimization efforts can significantly enhance performance and resource utilization.</w:t>
      </w:r>
    </w:p>
    <w:p w14:paraId="5D7DD2E8" w14:textId="77777777" w:rsidR="00250ACB" w:rsidRPr="00250ACB" w:rsidRDefault="00250ACB" w:rsidP="00250ACB">
      <w:r w:rsidRPr="00250ACB">
        <w:t>8.1. Architectural Enhancements for Performance Scaling</w:t>
      </w:r>
    </w:p>
    <w:p w14:paraId="3F1100FF" w14:textId="77777777" w:rsidR="00250ACB" w:rsidRPr="00250ACB" w:rsidRDefault="00250ACB" w:rsidP="00250ACB">
      <w:r w:rsidRPr="00250ACB">
        <w:t>To push the performance beyond the projected 90% accuracy ceiling without drastically compromising latency, a modular approach to depth is recommended.</w:t>
      </w:r>
    </w:p>
    <w:p w14:paraId="0A601400" w14:textId="77777777" w:rsidR="00250ACB" w:rsidRPr="00250ACB" w:rsidRDefault="00250ACB" w:rsidP="00250ACB">
      <w:r w:rsidRPr="00250ACB">
        <w:t>The architecture should be enhanced by integrating Residual Connections (</w:t>
      </w:r>
      <w:proofErr w:type="spellStart"/>
      <w:r w:rsidRPr="00250ACB">
        <w:t>ResNet</w:t>
      </w:r>
      <w:proofErr w:type="spellEnd"/>
      <w:r w:rsidRPr="00250ACB">
        <w:t xml:space="preserve"> Blocks).</w:t>
      </w:r>
      <w:r w:rsidRPr="00250ACB">
        <w:rPr>
          <w:vertAlign w:val="superscript"/>
        </w:rPr>
        <w:t>7</w:t>
      </w:r>
      <w:r w:rsidRPr="00250ACB">
        <w:t xml:space="preserve"> Residual connections enable the model to be deepened effectively, allowing the network to learn richer, more abstract feature representations while mitigating the risk of vanishing gradients. Studies have shown that </w:t>
      </w:r>
      <w:proofErr w:type="spellStart"/>
      <w:r w:rsidRPr="00250ACB">
        <w:t>ResNet</w:t>
      </w:r>
      <w:proofErr w:type="spellEnd"/>
      <w:r w:rsidRPr="00250ACB">
        <w:t xml:space="preserve"> structures can achieve superior performance with equivalent or even lower parameter counts compared to complex linear CNNs, making this an efficient path for increasing model capacity and performance without severe resource bloat.</w:t>
      </w:r>
      <w:r w:rsidRPr="00250ACB">
        <w:rPr>
          <w:vertAlign w:val="superscript"/>
        </w:rPr>
        <w:t>7</w:t>
      </w:r>
    </w:p>
    <w:p w14:paraId="22EC03EA" w14:textId="77777777" w:rsidR="00250ACB" w:rsidRPr="00250ACB" w:rsidRDefault="00250ACB" w:rsidP="00250ACB">
      <w:r w:rsidRPr="00250ACB">
        <w:t>8.2. Feature Engineering and Fusion Strategy</w:t>
      </w:r>
    </w:p>
    <w:p w14:paraId="535EFF86" w14:textId="77777777" w:rsidR="00250ACB" w:rsidRPr="00250ACB" w:rsidRDefault="00250ACB" w:rsidP="00250ACB">
      <w:r w:rsidRPr="00250ACB">
        <w:t>The analysis confirmed that augmented MFCCs achieve the highest benchmark performance (89.30%) on the FSC22 dataset.</w:t>
      </w:r>
      <w:r w:rsidRPr="00250ACB">
        <w:rPr>
          <w:vertAlign w:val="superscript"/>
        </w:rPr>
        <w:t>1</w:t>
      </w:r>
      <w:r w:rsidRPr="00250ACB">
        <w:t xml:space="preserve"> Therefore, the system should explore a Multi-Input/Feature Fusion Model. This strategy involves running parallel convolutional streams for both the Mel-spectrogram images and the MFCC features, fusing the resulting feature vectors before the final classification layer.</w:t>
      </w:r>
      <w:r w:rsidRPr="00250ACB">
        <w:rPr>
          <w:vertAlign w:val="superscript"/>
        </w:rPr>
        <w:t>11</w:t>
      </w:r>
      <w:r w:rsidRPr="00250ACB">
        <w:t xml:space="preserve"> This fusion provides the network with both the detailed texture of the Mel-spectrograms and the robust, compressed spectral envelope information from MFCCs, leading to superior generalization and potential classification accuracy.</w:t>
      </w:r>
    </w:p>
    <w:p w14:paraId="7E7D9782" w14:textId="77777777" w:rsidR="00250ACB" w:rsidRPr="00250ACB" w:rsidRDefault="00250ACB" w:rsidP="00250ACB">
      <w:r w:rsidRPr="00250ACB">
        <w:t>8.3. Post-Training Deployment Optimization (Flask)</w:t>
      </w:r>
    </w:p>
    <w:p w14:paraId="332A62A5" w14:textId="77777777" w:rsidR="00250ACB" w:rsidRPr="00250ACB" w:rsidRDefault="00250ACB" w:rsidP="00250ACB">
      <w:r w:rsidRPr="00250ACB">
        <w:t>For the Flask web application environment, minimizing inference time and resource usage is paramount. Post-training Model Quantization should be applied to the saved model state dictionary ("</w:t>
      </w:r>
      <w:proofErr w:type="spellStart"/>
      <w:r w:rsidRPr="00250ACB">
        <w:t>cnn_audio_model.pth</w:t>
      </w:r>
      <w:proofErr w:type="spellEnd"/>
      <w:r w:rsidRPr="00250ACB">
        <w:t>"). Quantization reduces the numerical precision of the weights (e.g., converting 32-bit floating-point weights to 8-bit integers). This process significantly reduces the model's file size and memory footprint, resulting in faster loading times and lower CPU/memory usage during real-time inference, thereby enhancing the user experience in the web deployment setting.</w:t>
      </w:r>
    </w:p>
    <w:p w14:paraId="7C1716B3" w14:textId="77777777" w:rsidR="00250ACB" w:rsidRPr="00250ACB" w:rsidRDefault="00250ACB" w:rsidP="00250ACB">
      <w:r w:rsidRPr="00250ACB">
        <w:t xml:space="preserve">8.4. Ensemble </w:t>
      </w:r>
      <w:proofErr w:type="spellStart"/>
      <w:r w:rsidRPr="00250ACB">
        <w:t>Modeling</w:t>
      </w:r>
      <w:proofErr w:type="spellEnd"/>
      <w:r w:rsidRPr="00250ACB">
        <w:t xml:space="preserve"> for Stability</w:t>
      </w:r>
    </w:p>
    <w:p w14:paraId="1CCECB2A" w14:textId="77777777" w:rsidR="00250ACB" w:rsidRPr="00250ACB" w:rsidRDefault="00250ACB" w:rsidP="00250ACB">
      <w:r w:rsidRPr="00250ACB">
        <w:lastRenderedPageBreak/>
        <w:t>To improve the stability and reliably boost validation accuracy, an ensemble approach should be adopted. Literature confirms that performance variance can occur across multiple runs of identical CNN models due to random initialization of the final classification layer and variations in mini-batch ordering.</w:t>
      </w:r>
      <w:r w:rsidRPr="00250ACB">
        <w:rPr>
          <w:vertAlign w:val="superscript"/>
        </w:rPr>
        <w:t>12</w:t>
      </w:r>
      <w:r w:rsidRPr="00250ACB">
        <w:t xml:space="preserve"> By training several instances of the </w:t>
      </w:r>
      <w:proofErr w:type="spellStart"/>
      <w:r w:rsidRPr="00250ACB">
        <w:t>AudioCNN</w:t>
      </w:r>
      <w:proofErr w:type="spellEnd"/>
      <w:r w:rsidRPr="00250ACB">
        <w:t xml:space="preserve"> with identical parameters and averaging their output predictions, the system can benefit from diversity, yielding a measurable and stable overall improvement in accuracy.</w:t>
      </w:r>
      <w:r w:rsidRPr="00250ACB">
        <w:rPr>
          <w:vertAlign w:val="superscript"/>
        </w:rPr>
        <w:t>12</w:t>
      </w:r>
    </w:p>
    <w:p w14:paraId="19853142" w14:textId="4454C0BB" w:rsidR="00F66C13" w:rsidRPr="00250ACB" w:rsidRDefault="00F66C13" w:rsidP="00785020"/>
    <w:sectPr w:rsidR="00F66C13" w:rsidRPr="00250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73C2C"/>
    <w:multiLevelType w:val="multilevel"/>
    <w:tmpl w:val="538E0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01439E"/>
    <w:multiLevelType w:val="multilevel"/>
    <w:tmpl w:val="8C96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541810"/>
    <w:multiLevelType w:val="multilevel"/>
    <w:tmpl w:val="99C0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E9173C"/>
    <w:multiLevelType w:val="multilevel"/>
    <w:tmpl w:val="2892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2C00E7"/>
    <w:multiLevelType w:val="multilevel"/>
    <w:tmpl w:val="BD7A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877789"/>
    <w:multiLevelType w:val="multilevel"/>
    <w:tmpl w:val="1154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9586062">
    <w:abstractNumId w:val="5"/>
  </w:num>
  <w:num w:numId="2" w16cid:durableId="2105568222">
    <w:abstractNumId w:val="0"/>
  </w:num>
  <w:num w:numId="3" w16cid:durableId="665061962">
    <w:abstractNumId w:val="2"/>
  </w:num>
  <w:num w:numId="4" w16cid:durableId="1568495740">
    <w:abstractNumId w:val="3"/>
  </w:num>
  <w:num w:numId="5" w16cid:durableId="1973321621">
    <w:abstractNumId w:val="1"/>
  </w:num>
  <w:num w:numId="6" w16cid:durableId="1427195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20"/>
    <w:rsid w:val="00147F26"/>
    <w:rsid w:val="00250ACB"/>
    <w:rsid w:val="006036DA"/>
    <w:rsid w:val="007836CE"/>
    <w:rsid w:val="00785020"/>
    <w:rsid w:val="007B5A7E"/>
    <w:rsid w:val="008C2230"/>
    <w:rsid w:val="00B678D7"/>
    <w:rsid w:val="00C83296"/>
    <w:rsid w:val="00DA4D26"/>
    <w:rsid w:val="00F66C13"/>
    <w:rsid w:val="00FC70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2C95"/>
  <w15:chartTrackingRefBased/>
  <w15:docId w15:val="{79C0FE5E-72D4-420E-B433-583679490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0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50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50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50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50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50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0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0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0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0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50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50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50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50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50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0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0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020"/>
    <w:rPr>
      <w:rFonts w:eastAsiaTheme="majorEastAsia" w:cstheme="majorBidi"/>
      <w:color w:val="272727" w:themeColor="text1" w:themeTint="D8"/>
    </w:rPr>
  </w:style>
  <w:style w:type="paragraph" w:styleId="Title">
    <w:name w:val="Title"/>
    <w:basedOn w:val="Normal"/>
    <w:next w:val="Normal"/>
    <w:link w:val="TitleChar"/>
    <w:uiPriority w:val="10"/>
    <w:qFormat/>
    <w:rsid w:val="007850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0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0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0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020"/>
    <w:pPr>
      <w:spacing w:before="160"/>
      <w:jc w:val="center"/>
    </w:pPr>
    <w:rPr>
      <w:i/>
      <w:iCs/>
      <w:color w:val="404040" w:themeColor="text1" w:themeTint="BF"/>
    </w:rPr>
  </w:style>
  <w:style w:type="character" w:customStyle="1" w:styleId="QuoteChar">
    <w:name w:val="Quote Char"/>
    <w:basedOn w:val="DefaultParagraphFont"/>
    <w:link w:val="Quote"/>
    <w:uiPriority w:val="29"/>
    <w:rsid w:val="00785020"/>
    <w:rPr>
      <w:i/>
      <w:iCs/>
      <w:color w:val="404040" w:themeColor="text1" w:themeTint="BF"/>
    </w:rPr>
  </w:style>
  <w:style w:type="paragraph" w:styleId="ListParagraph">
    <w:name w:val="List Paragraph"/>
    <w:basedOn w:val="Normal"/>
    <w:uiPriority w:val="34"/>
    <w:qFormat/>
    <w:rsid w:val="00785020"/>
    <w:pPr>
      <w:ind w:left="720"/>
      <w:contextualSpacing/>
    </w:pPr>
  </w:style>
  <w:style w:type="character" w:styleId="IntenseEmphasis">
    <w:name w:val="Intense Emphasis"/>
    <w:basedOn w:val="DefaultParagraphFont"/>
    <w:uiPriority w:val="21"/>
    <w:qFormat/>
    <w:rsid w:val="00785020"/>
    <w:rPr>
      <w:i/>
      <w:iCs/>
      <w:color w:val="2F5496" w:themeColor="accent1" w:themeShade="BF"/>
    </w:rPr>
  </w:style>
  <w:style w:type="paragraph" w:styleId="IntenseQuote">
    <w:name w:val="Intense Quote"/>
    <w:basedOn w:val="Normal"/>
    <w:next w:val="Normal"/>
    <w:link w:val="IntenseQuoteChar"/>
    <w:uiPriority w:val="30"/>
    <w:qFormat/>
    <w:rsid w:val="007850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5020"/>
    <w:rPr>
      <w:i/>
      <w:iCs/>
      <w:color w:val="2F5496" w:themeColor="accent1" w:themeShade="BF"/>
    </w:rPr>
  </w:style>
  <w:style w:type="character" w:styleId="IntenseReference">
    <w:name w:val="Intense Reference"/>
    <w:basedOn w:val="DefaultParagraphFont"/>
    <w:uiPriority w:val="32"/>
    <w:qFormat/>
    <w:rsid w:val="0078502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7</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Kushagra Agrawal</dc:creator>
  <cp:keywords/>
  <dc:description/>
  <cp:lastModifiedBy>Kushagra Agrawal</cp:lastModifiedBy>
  <cp:revision>8</cp:revision>
  <cp:lastPrinted>2025-11-16T20:39:00Z</cp:lastPrinted>
  <dcterms:created xsi:type="dcterms:W3CDTF">2025-11-03T08:41:00Z</dcterms:created>
  <dcterms:modified xsi:type="dcterms:W3CDTF">2025-11-16T22:21:00Z</dcterms:modified>
</cp:coreProperties>
</file>